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B5" w:rsidRDefault="00FD77B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32"/>
        </w:rPr>
      </w:pPr>
      <w:bookmarkStart w:id="0" w:name="_GoBack"/>
      <w:bookmarkEnd w:id="0"/>
    </w:p>
    <w:p w:rsidR="00FD77B5" w:rsidRDefault="003C31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8524" w:dyaOrig="1963">
          <v:rect id="rectole0000000000" o:spid="_x0000_i1025" style="width:426pt;height:98.4pt" o:ole="" o:preferrelative="t" stroked="f">
            <v:imagedata r:id="rId4" o:title=""/>
          </v:rect>
          <o:OLEObject Type="Embed" ProgID="StaticMetafile" ShapeID="rectole0000000000" DrawAspect="Content" ObjectID="_1668068825" r:id="rId5"/>
        </w:object>
      </w:r>
    </w:p>
    <w:p w:rsidR="00FD77B5" w:rsidRDefault="003C3179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Adriana Viotti -4ª etapa-3º ano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SARTRE E O EXISTENCIALISMO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Ilda Helena Marques </w:t>
      </w:r>
      <w:r>
        <w:rPr>
          <w:rFonts w:ascii="Arial" w:eastAsia="Arial" w:hAnsi="Arial" w:cs="Arial"/>
        </w:rPr>
        <w:t>(COFIL-FUNREI)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Orientador: Alberto Tibaji (DELAC-FUNREI)</w:t>
      </w:r>
    </w:p>
    <w:p w:rsidR="00FD77B5" w:rsidRDefault="00FD77B5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1. O “em-si”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</w:rPr>
        <w:t xml:space="preserve">egundo Sartre, não há determinismo em relação à realidade humana, isto é, somente a liberdade é determinante. O homem, numa escolha livre e situada, faz a si mesmo. Não há, portanto, uma natureza humana. É a célebre afirmação de </w:t>
      </w:r>
      <w:r>
        <w:rPr>
          <w:rFonts w:ascii="Arial" w:eastAsia="Arial" w:hAnsi="Arial" w:cs="Arial"/>
          <w:i/>
        </w:rPr>
        <w:t>O Existencial</w:t>
      </w:r>
      <w:r>
        <w:rPr>
          <w:rFonts w:ascii="Arial" w:eastAsia="Arial" w:hAnsi="Arial" w:cs="Arial"/>
          <w:i/>
        </w:rPr>
        <w:t>ismo é 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humanismo: </w:t>
      </w:r>
      <w:r>
        <w:rPr>
          <w:rFonts w:ascii="Arial" w:eastAsia="Arial" w:hAnsi="Arial" w:cs="Arial"/>
        </w:rPr>
        <w:t>“a existência precede a essência”.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Sartre demonstra, primeiramente, que a consciência é sempre consciência de algo, de algo que não é consciência dos objetos inseridos no mundo, mas nenhum desses objetos é a minha consciência. 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“em-s</w:t>
      </w:r>
      <w:r>
        <w:rPr>
          <w:rFonts w:ascii="Arial" w:eastAsia="Arial" w:hAnsi="Arial" w:cs="Arial"/>
        </w:rPr>
        <w:t>i” é o mundo, o mundo das coisas materiais. O “em-si” é o ser. Ele é idêntico a si mesmo. O “em-si” se esgota em ser o que ele é, e isso de um modo tão radical que consegue escapar à própria temporalidade (Bornheim, 1971, p. 34).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relação à atividade, es</w:t>
      </w:r>
      <w:r>
        <w:rPr>
          <w:rFonts w:ascii="Arial" w:eastAsia="Arial" w:hAnsi="Arial" w:cs="Arial"/>
        </w:rPr>
        <w:t>ta pertence, exclusivamente, à consciência e é somente em relação a tal atividade que o objeto poderá ser nomeado passivo. Desta forma, o “em si” é um ser excluído da atividade e da passividade, pois estas formas humanas são eletivas ao comportamento human</w:t>
      </w:r>
      <w:r>
        <w:rPr>
          <w:rFonts w:ascii="Arial" w:eastAsia="Arial" w:hAnsi="Arial" w:cs="Arial"/>
        </w:rPr>
        <w:t>o.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Segundo Gerd A Bornheim, o “em-si” também está além da negação e da afirmação, pois ambas são produtos da consciência. A afirmação é afirmação de alguma coisa, permanecendo, então, além da coisa. Assim, o mesmo vale para a negação. Afirmação e negação t</w:t>
      </w:r>
      <w:r>
        <w:rPr>
          <w:rFonts w:ascii="Arial" w:eastAsia="Arial" w:hAnsi="Arial" w:cs="Arial"/>
        </w:rPr>
        <w:t>êm como pressuposto a relação com a consciência, no entanto, o ser não conhece nenhum sentido que diga respeito à palavra “relação”. Desse modo, Bornheim (1971) cita Sartre: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ser não é relação a si, ele é ele mesmo. É uma imanência que não se pode realiza</w:t>
      </w:r>
      <w:r>
        <w:rPr>
          <w:rFonts w:ascii="Arial" w:eastAsia="Arial" w:hAnsi="Arial" w:cs="Arial"/>
          <w:sz w:val="18"/>
        </w:rPr>
        <w:t>r, uma afirmação que não se afirma, uma atividade que não pode agir, porque é empastado de si mesmo (p. 34).</w:t>
      </w:r>
    </w:p>
    <w:p w:rsidR="00FD77B5" w:rsidRDefault="00FD77B5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Percebe-se dessa forma, o sentido do que se designa como “ser-em-si”. Como já foi falado, anteriormente, o “em-si é idêntico a si próprio. Passand</w:t>
      </w:r>
      <w:r>
        <w:rPr>
          <w:rFonts w:ascii="Arial" w:eastAsia="Arial" w:hAnsi="Arial" w:cs="Arial"/>
        </w:rPr>
        <w:t>o o princípio de identidade a possuir um caráter ‘regional’, expressão usada por Bornheim. Desse modo, esse caráter ‘regional’ é aplicado ao “em-si”.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Sartre ressalta que o homem ao conhecer, nada acrescentará ao “em si”, pois o ato de conhecer não é criado</w:t>
      </w:r>
      <w:r>
        <w:rPr>
          <w:rFonts w:ascii="Arial" w:eastAsia="Arial" w:hAnsi="Arial" w:cs="Arial"/>
        </w:rPr>
        <w:t>r e desta forma não esquecerá o “em si”.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2. O “para-si”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ser “em-si” se contrapõe ao ser “para-si”, pois o primeiro é o “ser do fenômeno” enquanto o segundo é o “ser da consciência”. Desse modo, ambos são diferentes. Daí a afirmação: “O ‘em-si’ é incriado</w:t>
      </w:r>
      <w:r>
        <w:rPr>
          <w:rFonts w:ascii="Arial" w:eastAsia="Arial" w:hAnsi="Arial" w:cs="Arial"/>
        </w:rPr>
        <w:t xml:space="preserve"> e atemporal, o para–si autocria-se continuamente no </w:t>
      </w:r>
      <w:r>
        <w:rPr>
          <w:rFonts w:ascii="Arial" w:eastAsia="Arial" w:hAnsi="Arial" w:cs="Arial"/>
        </w:rPr>
        <w:lastRenderedPageBreak/>
        <w:t>tempo. Enquanto que o primeiro é sempre idêntico a si próprio, o segundo “não pode coincidir consigo” (Moraiva, 1985, p. 38).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Sartre, ao estudar o sujeito, ou seja, o “para-si”, o faz de maneira excepcio</w:t>
      </w:r>
      <w:r>
        <w:rPr>
          <w:rFonts w:ascii="Arial" w:eastAsia="Arial" w:hAnsi="Arial" w:cs="Arial"/>
        </w:rPr>
        <w:t>nal.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homem é o grande tema de suas obras. Torna-se importante frisar que o “para-si” tem como seu fundamento o nada. O homem é quem introduz o não ser no mundo, é o homem que modifica as coisas, contrariamente, ao pensamento kantiano, para o qual a orige</w:t>
      </w:r>
      <w:r>
        <w:rPr>
          <w:rFonts w:ascii="Arial" w:eastAsia="Arial" w:hAnsi="Arial" w:cs="Arial"/>
        </w:rPr>
        <w:t>m do nada se dá através da negatividade, mas de acordo com a posição heideggeriana de que é o nada que fundamenta a negação.</w:t>
      </w:r>
    </w:p>
    <w:p w:rsidR="00FD77B5" w:rsidRDefault="003C3179">
      <w:pPr>
        <w:spacing w:after="0" w:line="240" w:lineRule="auto"/>
        <w:ind w:left="48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 função da negação varia segundo a natureza do objeto considerado (...) torna-se impossível, em qualquer caso, afastar estas negações para um nada fora do mundo porque elas estão dispersa no ser e por ele são sustentadas, sendo ainda condições da realidad</w:t>
      </w:r>
      <w:r>
        <w:rPr>
          <w:rFonts w:ascii="Arial" w:eastAsia="Arial" w:hAnsi="Arial" w:cs="Arial"/>
          <w:sz w:val="18"/>
        </w:rPr>
        <w:t xml:space="preserve">e (...) o nada se não for sustentado pelo ser, extingue-se enquanto nada e voltamos a cair no ser. O nada não se pode anular senão na base do ser, se do nada pode seguir o ser, tal não acontece nem antes nem depois do ser, nem, de modo geral, fora do ser, </w:t>
      </w:r>
      <w:r>
        <w:rPr>
          <w:rFonts w:ascii="Arial" w:eastAsia="Arial" w:hAnsi="Arial" w:cs="Arial"/>
          <w:sz w:val="18"/>
        </w:rPr>
        <w:t>mas, no próprio seio do ser no seu centro, como um verme (Moraiva, 1985, 39).</w:t>
      </w:r>
    </w:p>
    <w:p w:rsidR="00FD77B5" w:rsidRDefault="00FD77B5">
      <w:pPr>
        <w:spacing w:after="0" w:line="240" w:lineRule="auto"/>
        <w:ind w:left="4820"/>
        <w:jc w:val="both"/>
        <w:rPr>
          <w:rFonts w:ascii="Arial" w:eastAsia="Arial" w:hAnsi="Arial" w:cs="Arial"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Torna-se necessário perceber que, a princípio, o pressuposto de toda pergunta é o ser, ou seja, a afirmação.No entanto, o que ocorre é o contrário, ao enunciarmos uma pergunta ficamos cercados pelo nada, pois, se pergunto se o céu está repleto de estrelas,</w:t>
      </w:r>
      <w:r>
        <w:rPr>
          <w:rFonts w:ascii="Arial" w:eastAsia="Arial" w:hAnsi="Arial" w:cs="Arial"/>
        </w:rPr>
        <w:t xml:space="preserve"> e constato que não, o que eu constato é um nada de estrelas.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Outro exemplo, a pergunta implicada pela existência da verdade, ou seja, se digo que tais objetos são possuidores de certos atributos, defino-os como não possuidores de outras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Arial" w:eastAsia="Arial" w:hAnsi="Arial" w:cs="Arial"/>
        </w:rPr>
        <w:t>características, é</w:t>
      </w:r>
      <w:r>
        <w:rPr>
          <w:rFonts w:ascii="Arial" w:eastAsia="Arial" w:hAnsi="Arial" w:cs="Arial"/>
        </w:rPr>
        <w:t xml:space="preserve"> o que Sartre denomina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Arial" w:eastAsia="Arial" w:hAnsi="Arial" w:cs="Arial"/>
        </w:rPr>
        <w:t>“o não-ser da limitação”.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Arial" w:eastAsia="Arial" w:hAnsi="Arial" w:cs="Arial"/>
        </w:rPr>
        <w:t>Desta forma, como já foi afirmado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Arial" w:eastAsia="Arial" w:hAnsi="Arial" w:cs="Arial"/>
        </w:rPr>
        <w:t>antes. É o homem o centro da filosofia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Arial" w:eastAsia="Arial" w:hAnsi="Arial" w:cs="Arial"/>
        </w:rPr>
        <w:t>sartriana, pois a existência precede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Arial" w:eastAsia="Arial" w:hAnsi="Arial" w:cs="Arial"/>
        </w:rPr>
        <w:t>a essência.</w:t>
      </w:r>
    </w:p>
    <w:p w:rsidR="00FD77B5" w:rsidRDefault="00FD7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4. A Existência precede a Essência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Assim, na visão sartreana, o fato da existência p</w:t>
      </w:r>
      <w:r>
        <w:rPr>
          <w:rFonts w:ascii="Arial" w:eastAsia="Arial" w:hAnsi="Arial" w:cs="Arial"/>
        </w:rPr>
        <w:t>receder a essência, ocorre única e exclusivamente, somente se ele é livre, ao contrário dos outros seres que são predeterminados. Somente o homem existe, as outras coisas não, elas apenas são.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Encontramo-nos perante uma nova forma de ver o mundo, na qual o</w:t>
      </w:r>
      <w:r>
        <w:rPr>
          <w:rFonts w:ascii="Arial" w:eastAsia="Arial" w:hAnsi="Arial" w:cs="Arial"/>
        </w:rPr>
        <w:t>corre uma valorização do indivíduo que faz a si mesmo: “O homem nada mais é do que aquilo que ele faz a si mesmo: é esse o primeiro princípio do existencialismo” (Sartre, 1987, p. 6).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Sendo assim, o próprio homem decide o seu caminho. E se o homem decidir </w:t>
      </w:r>
      <w:r>
        <w:rPr>
          <w:rFonts w:ascii="Arial" w:eastAsia="Arial" w:hAnsi="Arial" w:cs="Arial"/>
        </w:rPr>
        <w:t>ser herói ou covarde, ele é o único responsável por esse ato praticado:</w:t>
      </w:r>
    </w:p>
    <w:p w:rsidR="00FD77B5" w:rsidRDefault="00FD77B5">
      <w:pPr>
        <w:spacing w:after="0" w:line="240" w:lineRule="auto"/>
        <w:jc w:val="both"/>
        <w:rPr>
          <w:rFonts w:ascii="Arial" w:eastAsia="Arial" w:hAnsi="Arial" w:cs="Arial"/>
        </w:rPr>
      </w:pP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o existencialismo afirma é que o covarde se faz covarde que o herói se faz herói; existe sempre, para o covarde, uma possibilidade de não mais ser covarde, e, para o herói, de deixar </w:t>
      </w:r>
      <w:r>
        <w:rPr>
          <w:rFonts w:ascii="Arial" w:eastAsia="Arial" w:hAnsi="Arial" w:cs="Arial"/>
          <w:sz w:val="18"/>
        </w:rPr>
        <w:t>de o ser (Sartre, 1987, p. 14).</w:t>
      </w:r>
    </w:p>
    <w:p w:rsidR="00FD77B5" w:rsidRDefault="00FD77B5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Assim, em relação ao fato da doutrina existencialista ser acusada de pessimista, Sartre defende-se dizendo ser ela a mais otimista, pois nela está inserido o destino do homem. Na concepção sartreana não existe uma natureza </w:t>
      </w:r>
      <w:r>
        <w:rPr>
          <w:rFonts w:ascii="Arial" w:eastAsia="Arial" w:hAnsi="Arial" w:cs="Arial"/>
        </w:rPr>
        <w:t>humana, o homem é responsável por si, pois a existência precede a essência.</w:t>
      </w:r>
    </w:p>
    <w:p w:rsidR="00FD77B5" w:rsidRDefault="00FD77B5">
      <w:pPr>
        <w:spacing w:after="0" w:line="240" w:lineRule="auto"/>
        <w:jc w:val="both"/>
        <w:rPr>
          <w:rFonts w:ascii="Arial" w:eastAsia="Arial" w:hAnsi="Arial" w:cs="Arial"/>
        </w:rPr>
      </w:pP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Com efeito, se a existência precede a essência, nada poderá jamais ser </w:t>
      </w:r>
      <w:r>
        <w:rPr>
          <w:rFonts w:ascii="Arial" w:eastAsia="Arial" w:hAnsi="Arial" w:cs="Arial"/>
          <w:sz w:val="18"/>
        </w:rPr>
        <w:lastRenderedPageBreak/>
        <w:t>explicado por referência a uma natureza humana dada e definitiva, ou seja, não existe determinismo, o homem é livre, o homem é liberdade (Sartre, 1987, p.9).</w:t>
      </w:r>
    </w:p>
    <w:p w:rsidR="00FD77B5" w:rsidRDefault="00FD77B5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Deste modo, Sartre afirma </w:t>
      </w:r>
      <w:r>
        <w:rPr>
          <w:rFonts w:ascii="Arial" w:eastAsia="Arial" w:hAnsi="Arial" w:cs="Arial"/>
        </w:rPr>
        <w:t>que o existencialismo é um humanismo, e certos críticos acusam Sartre de ser incoerente. A defesa surge rapidamente e de forma simples, ao demonstrar o sentido da palavra que usou: “Humanismo, porque recordamos ao homem que não existe outro legislador a nã</w:t>
      </w:r>
      <w:r>
        <w:rPr>
          <w:rFonts w:ascii="Arial" w:eastAsia="Arial" w:hAnsi="Arial" w:cs="Arial"/>
        </w:rPr>
        <w:t>o ser ele próprio” (Sartre, 1987, p. 21).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Enfim, o fato de Sartre afirmar que a existência precede a essência significa que, num primeiro instante, o homem existe, se descobre, aparece no mundo; e somente depois ele se define. Contudo, contrariamente ao ex</w:t>
      </w:r>
      <w:r>
        <w:rPr>
          <w:rFonts w:ascii="Arial" w:eastAsia="Arial" w:hAnsi="Arial" w:cs="Arial"/>
        </w:rPr>
        <w:t>istencialismo, a doutrina essencialista consegue pensar o ente sem ser pensado como existente, isto é, a doutrina essencialista é uma forma de pensar que submete o ente à essência.</w:t>
      </w:r>
    </w:p>
    <w:p w:rsidR="00FD77B5" w:rsidRDefault="00FD77B5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5. Temporalidade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Segundo Sartre, as dimensões do tempo, passado, presente </w:t>
      </w:r>
      <w:r>
        <w:rPr>
          <w:rFonts w:ascii="Arial" w:eastAsia="Arial" w:hAnsi="Arial" w:cs="Arial"/>
        </w:rPr>
        <w:t>e futuro devem ser compreendidas a partir de uma “síntese original”. Bornheim (1971) cita Sartre: “passado, presente e futuro são momentos estruturados de uma síntese original” (p.64). O passado inexiste, a não ser quando existe ligação com o presente. O p</w:t>
      </w:r>
      <w:r>
        <w:rPr>
          <w:rFonts w:ascii="Arial" w:eastAsia="Arial" w:hAnsi="Arial" w:cs="Arial"/>
        </w:rPr>
        <w:t>assado é vivido no presente. Daí a afirmação.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passado é marca do ‘em-si’. Enquanto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homem é consciente de si mesmo, no presente, ele vive segundo o modo do “para-si”, contudo, o seu passado tem todas as características do ‘em-si’ (Sartre, 1987, p. 10).</w:t>
      </w:r>
    </w:p>
    <w:p w:rsidR="00FD77B5" w:rsidRDefault="00FD77B5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Dessa forma, eu vivo o passado, inserido em mim e sem cogitação de transformá-lo, pois ele “foi” e por isso “está-ali”, dotado de características não modificáveis e de não variação.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Mas eu não “sou” o passado, da mesma forma que eu o “era”. O presente, pa</w:t>
      </w:r>
      <w:r>
        <w:rPr>
          <w:rFonts w:ascii="Arial" w:eastAsia="Arial" w:hAnsi="Arial" w:cs="Arial"/>
        </w:rPr>
        <w:t>ra Sartre, é o absoluto “para-si”. O presente é a absoluta “presença” do sujeito defronte o “em si”. Tal presença, de acordo com a natureza do “para-si”, constitui com separação e distinção, isto é, como negação. Sartre, citado por Moraiva:</w:t>
      </w:r>
    </w:p>
    <w:p w:rsidR="00FD77B5" w:rsidRDefault="00FD77B5">
      <w:pPr>
        <w:spacing w:after="0" w:line="240" w:lineRule="auto"/>
        <w:jc w:val="both"/>
        <w:rPr>
          <w:rFonts w:ascii="Arial" w:eastAsia="Arial" w:hAnsi="Arial" w:cs="Arial"/>
        </w:rPr>
      </w:pPr>
    </w:p>
    <w:p w:rsidR="00FD77B5" w:rsidRDefault="003C3179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presente é precisamente esta negação do ser, esta evasão para fora do ser enquanto o ser está lá, tal como aquilo que se evade (Moraiva, 1985, p.47).</w:t>
      </w:r>
    </w:p>
    <w:p w:rsidR="00FD77B5" w:rsidRDefault="00FD77B5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em relação ao futuro, Sartre o analisa de forma semelhante ao passado.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futuro incorpora para o “par</w:t>
      </w:r>
      <w:r>
        <w:rPr>
          <w:rFonts w:ascii="Arial" w:eastAsia="Arial" w:hAnsi="Arial" w:cs="Arial"/>
        </w:rPr>
        <w:t>a-si” traços do “em-si”, isto é, um ser imóvel imodificável e terminado. O futuro também, não está completamente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“separado” do sujeito. Moraiva cita Sartre.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futuro é o ser determinado que o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para-si deve ser para lá do ser. Existe um futuro porque o para-</w:t>
      </w:r>
      <w:r>
        <w:rPr>
          <w:rFonts w:ascii="Arial" w:eastAsia="Arial" w:hAnsi="Arial" w:cs="Arial"/>
          <w:sz w:val="18"/>
        </w:rPr>
        <w:t>si deve ser o seu, em vez de o ser pura e simplesmente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(...). O futuro revela-se ao parasi como aquilo que o para-si ainda não e (...). Assim, o futuro sou eu próprio, do ponto de vista em que me espero como presença perante um ser para além do ser (Moraiv</w:t>
      </w:r>
      <w:r>
        <w:rPr>
          <w:rFonts w:ascii="Arial" w:eastAsia="Arial" w:hAnsi="Arial" w:cs="Arial"/>
          <w:sz w:val="18"/>
        </w:rPr>
        <w:t>a, 1985, p. 479.</w:t>
      </w:r>
    </w:p>
    <w:p w:rsidR="00FD77B5" w:rsidRDefault="00FD77B5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Entretanto, o objetivo desejado pelo sujeito não poderá ser atingindo, pois o “para-si” é dotado de negatividade, desse modo, em nenhum futuro alcançará a sua completude, </w:t>
      </w:r>
      <w:r>
        <w:rPr>
          <w:rFonts w:ascii="Arial" w:eastAsia="Arial" w:hAnsi="Arial" w:cs="Arial"/>
        </w:rPr>
        <w:lastRenderedPageBreak/>
        <w:t xml:space="preserve">voltando, assim, para um futuro possível. O “para-si”, constituído </w:t>
      </w:r>
      <w:r>
        <w:rPr>
          <w:rFonts w:ascii="Arial" w:eastAsia="Arial" w:hAnsi="Arial" w:cs="Arial"/>
        </w:rPr>
        <w:t>de não-ser, deve viver em uma constante busca de completude.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6. Liberdade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existência antecede e ordena a essência e toda a vontade em se delimita. A liberdade faz-se contraditória, pois a ela instaura-se como fundamento de todas as essências.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Portanto, para Sartre, o único fundamento do ser é a liberdade.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homem escolhe o que projeta ser, usando de sua liberdade. E os seus valores serão criados através da escolha por ele feita, escolha da qual não há como fugir, pois mesmo a recusa em não esco</w:t>
      </w:r>
      <w:r>
        <w:rPr>
          <w:rFonts w:ascii="Arial" w:eastAsia="Arial" w:hAnsi="Arial" w:cs="Arial"/>
        </w:rPr>
        <w:t>lher já é uma escolha. Assim, ao escolher, nota-se com evidência a sua liberdade. “A escolha é possível, em certo sentido, porém o que não é possível é não escolher” (Sartre, 1987, p. 17)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doutrina existencialista, a liberdade é conceituada de uma forma </w:t>
      </w:r>
      <w:r>
        <w:rPr>
          <w:rFonts w:ascii="Arial" w:eastAsia="Arial" w:hAnsi="Arial" w:cs="Arial"/>
        </w:rPr>
        <w:t>totalmente diferente da concepção clássica, ou seja, na concepção clássica de liberdade é compreendida com livre arbítrio. Todavia, na visão sartreana, o conceito de liberdade é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diferente do simplesmente poder optar ou não por se fazer algo, ou seja, é agi</w:t>
      </w:r>
      <w:r>
        <w:rPr>
          <w:rFonts w:ascii="Arial" w:eastAsia="Arial" w:hAnsi="Arial" w:cs="Arial"/>
        </w:rPr>
        <w:t>r com liberdade, incorporada à responsabilidade.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liberdade, no existencilismo, possui a capacidade do sujeito encaminhar o que será de sua vida, responsabilizando- o por seus atos. No entanto, torna-se necessário ressaltar que essa liberdade é condiciona</w:t>
      </w:r>
      <w:r>
        <w:rPr>
          <w:rFonts w:ascii="Arial" w:eastAsia="Arial" w:hAnsi="Arial" w:cs="Arial"/>
        </w:rPr>
        <w:t>da, pois é limitada pela sociedade e suas regras, às quais devemos nos “submeter”.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é devido a “essa” “submissão”, que em determinados momentos vida, o homem entra em conflito com o meio socia, em que vive, isto é, ao vivermos em sociedade deparamo- nos c</w:t>
      </w:r>
      <w:r>
        <w:rPr>
          <w:rFonts w:ascii="Arial" w:eastAsia="Arial" w:hAnsi="Arial" w:cs="Arial"/>
        </w:rPr>
        <w:t>om fatos sociais com os quais devemos conviver, para vivermos em comunidade.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Sartre entende que o homem ao desejar a liberdade, a faz para si e para toda a humanidade, tomando tal fato de caráter universal, isto é, quando o homem escolhe faz de maneira uni</w:t>
      </w:r>
      <w:r>
        <w:rPr>
          <w:rFonts w:ascii="Arial" w:eastAsia="Arial" w:hAnsi="Arial" w:cs="Arial"/>
        </w:rPr>
        <w:t>versal. Nesse ponto pode-se fazer um paralelo com o imperativo categórico de Kant, onde o ato do indivíduo deve ter uma correspondência ética universal.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Sem dúvida, a liberdade enquanto definição do homem, não depende de outrem, mas, logo que existe um eng</w:t>
      </w:r>
      <w:r>
        <w:rPr>
          <w:rFonts w:ascii="Arial" w:eastAsia="Arial" w:hAnsi="Arial" w:cs="Arial"/>
          <w:sz w:val="18"/>
        </w:rPr>
        <w:t>ajamento, sou forçado a querer, simultaneamente, a minha liberdade e a dos outros, não posso ter objetivo a minha liberdade a não ser que meu objetivo seja também a liberdade dos outros (Sartre, 1987, p. 199).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7. Má-fé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má-fé da mentira, no sentido em que</w:t>
      </w:r>
      <w:r>
        <w:rPr>
          <w:rFonts w:ascii="Arial" w:eastAsia="Arial" w:hAnsi="Arial" w:cs="Arial"/>
        </w:rPr>
        <w:t xml:space="preserve"> a má-fé não trata de um comportamento que o sujeito adota contra outro sujeito, mas sim, contra ele próprio. O indivíduo mente para si próprio, tentando, desta forma, ludibriar as responsabilidades que lhe são pertencentes. “A má-fé é evidentemente uma me</w:t>
      </w:r>
      <w:r>
        <w:rPr>
          <w:rFonts w:ascii="Arial" w:eastAsia="Arial" w:hAnsi="Arial" w:cs="Arial"/>
        </w:rPr>
        <w:t>ntira, pois dissimula a total liberdade do engajamento” (Sartre, 1989, p. 19).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Ao considerar que um homem se esconde atrás de desculpas de suas paixões, que inventa um determinismo, esse homem é um sujeito dotado de má-fé. Ele se encontra representando um </w:t>
      </w:r>
      <w:r>
        <w:rPr>
          <w:rFonts w:ascii="Arial" w:eastAsia="Arial" w:hAnsi="Arial" w:cs="Arial"/>
        </w:rPr>
        <w:t>eterno teatro.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8. Deus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colocar o homem como responsável por sua existência, Sartre afirma ser um existencialista ateu. Desse modo, conclui que não há uma natureza humana e que não há um Deus para originá-la.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 isso, o homem torna-se responsável pela sua existência, mas não somente em relação à sua individualidade, este homem torna-se responsável também pelos outros homens. “Portanto, a nossa responsabilidade é muito maior do que poderíamos supor,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pois ela en</w:t>
      </w:r>
      <w:r>
        <w:rPr>
          <w:rFonts w:ascii="Arial" w:eastAsia="Arial" w:hAnsi="Arial" w:cs="Arial"/>
        </w:rPr>
        <w:t>gaja a humanidade inteira” (Sartre, 1987, p. 7). E ao sermos responsáveis por nossa existência e pela existência dos outros homens, deparamo-nos com a palavra angústia”.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não existência de Deus na doutrina existencialista, é, a princípio, o conceito de qu</w:t>
      </w:r>
      <w:r>
        <w:rPr>
          <w:rFonts w:ascii="Arial" w:eastAsia="Arial" w:hAnsi="Arial" w:cs="Arial"/>
        </w:rPr>
        <w:t>e tudo é permitido, desse modo o homem encontra-se só, pois não pode procurar em Deus e nem no mundo nada para se segurar, tendo respaldo somente em si próprio e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sua existência.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O existencialismo ateu, que eu represento, é mais coerente. Afirma que, se </w:t>
      </w:r>
      <w:r>
        <w:rPr>
          <w:rFonts w:ascii="Arial" w:eastAsia="Arial" w:hAnsi="Arial" w:cs="Arial"/>
          <w:sz w:val="18"/>
        </w:rPr>
        <w:t>Deus existe, há pelo menos um ser no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qual a existência precede a essência, um ser existe antes de poder ser definido por qualquer conceito: este ser é o homem (Sartre, 1987, p. 6).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conseguinte, encontramo-nos solitários, condenados à liberdade. E o fat</w:t>
      </w:r>
      <w:r>
        <w:rPr>
          <w:rFonts w:ascii="Arial" w:eastAsia="Arial" w:hAnsi="Arial" w:cs="Arial"/>
        </w:rPr>
        <w:t>o da existência de Deus faz com que não tenhamos um paradigma, e, consequentemente, não existem valores que devemos seguir, valores que legalizem nosso modo de ser como correto ou não.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ateísmo existencialista não é compreendido e aceito por outras doutrinas. Todavia, o que Sartre pretende é que o homem enxergue que, independente de Deus existir ou não, este não é o ponto fundamental, é necessário que o homem compreenda que nada poderá </w:t>
      </w:r>
      <w:r>
        <w:rPr>
          <w:rFonts w:ascii="Arial" w:eastAsia="Arial" w:hAnsi="Arial" w:cs="Arial"/>
        </w:rPr>
        <w:t>livrá-lo dele próprio, nem mesmo a concretude de Deus. Daí Sartre afirma:</w:t>
      </w:r>
    </w:p>
    <w:p w:rsidR="00FD77B5" w:rsidRDefault="003C3179">
      <w:pPr>
        <w:spacing w:after="0" w:line="240" w:lineRule="auto"/>
        <w:ind w:left="510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existencialismo não é tanto um ateísmo no sentido em que se esforçaria por demonstrar que Deus não existe. Ele declara, mais exatamente: mesmo que Deus existisse, nada mudaria, eis</w:t>
      </w:r>
      <w:r>
        <w:rPr>
          <w:rFonts w:ascii="Arial" w:eastAsia="Arial" w:hAnsi="Arial" w:cs="Arial"/>
          <w:sz w:val="18"/>
        </w:rPr>
        <w:t xml:space="preserve"> nosso ponto de vista. Não que acreditamos que Deus exista, mas pensamos que o problema não é de sua existência, é preciso que o homem se reencontre e se convença de que nada pode salvá-lo dele próprio, nem mesmo uma prova válida da existência de Deus (Sar</w:t>
      </w:r>
      <w:r>
        <w:rPr>
          <w:rFonts w:ascii="Arial" w:eastAsia="Arial" w:hAnsi="Arial" w:cs="Arial"/>
          <w:sz w:val="18"/>
        </w:rPr>
        <w:t>tre, 1987, p. 22).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Conclusão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presente trabalho propôs-se pensar a doutrina existencialista sartreana. Destacou-se a afirmação de que a existência precede a essência e que tal fato se dá somente com o homem, consequentemente somente ele é livre e que é a </w:t>
      </w:r>
      <w:r>
        <w:rPr>
          <w:rFonts w:ascii="Arial" w:eastAsia="Arial" w:hAnsi="Arial" w:cs="Arial"/>
        </w:rPr>
        <w:t>liberdade um dos conceitos mais importantes para Sartre.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ser “em-si” e o ser “para-si” foram abordados segundo a visão sartreana, sendo que, genericamente, poder- se-ia conceituá-los como: o “emsi”, “ser do fenômeno” e o “para-si”, “ser da consciência”. </w:t>
      </w:r>
      <w:r>
        <w:rPr>
          <w:rFonts w:ascii="Arial" w:eastAsia="Arial" w:hAnsi="Arial" w:cs="Arial"/>
        </w:rPr>
        <w:t>A doutrina existencialista que Sartre incorpora é a do ateísmo, na qual o homem é o responsável por sua existência. E se o homem foge dessa responsabilidade, ou seja, se ele foge de si próprio, age de “má-fé”.</w:t>
      </w:r>
    </w:p>
    <w:p w:rsidR="00FD77B5" w:rsidRDefault="00FD77B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Referências Bibliográficas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BORNHEIM, Gerd. A 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i/>
          <w:sz w:val="20"/>
        </w:rPr>
        <w:t xml:space="preserve">Sartre. </w:t>
      </w:r>
      <w:r>
        <w:rPr>
          <w:rFonts w:ascii="Arial" w:eastAsia="Arial" w:hAnsi="Arial" w:cs="Arial"/>
          <w:sz w:val="20"/>
        </w:rPr>
        <w:t>São Paulo, 1971.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MENDONÇA, Cristina Diniz. </w:t>
      </w:r>
      <w:r>
        <w:rPr>
          <w:rFonts w:ascii="Arial" w:eastAsia="Arial" w:hAnsi="Arial" w:cs="Arial"/>
          <w:i/>
          <w:sz w:val="20"/>
        </w:rPr>
        <w:t xml:space="preserve">O Ser e o Nada: </w:t>
      </w:r>
      <w:r>
        <w:rPr>
          <w:rFonts w:ascii="Arial" w:eastAsia="Arial" w:hAnsi="Arial" w:cs="Arial"/>
          <w:sz w:val="20"/>
        </w:rPr>
        <w:t>uma “descoberta” filosófica dos “tempos modernos”. São Paulo : Transformação. V. 17, p. 105-112.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MORAIVA, João da. </w:t>
      </w:r>
      <w:r>
        <w:rPr>
          <w:rFonts w:ascii="Arial" w:eastAsia="Arial" w:hAnsi="Arial" w:cs="Arial"/>
          <w:i/>
          <w:sz w:val="20"/>
        </w:rPr>
        <w:t xml:space="preserve">O que é existencialismo. </w:t>
      </w:r>
      <w:r>
        <w:rPr>
          <w:rFonts w:ascii="Arial" w:eastAsia="Arial" w:hAnsi="Arial" w:cs="Arial"/>
          <w:sz w:val="20"/>
        </w:rPr>
        <w:t>11 ed. São Paulo : Brasiliense, 1982.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SARTRE. Jean Paul. </w:t>
      </w:r>
      <w:r>
        <w:rPr>
          <w:rFonts w:ascii="Arial" w:eastAsia="Arial" w:hAnsi="Arial" w:cs="Arial"/>
          <w:i/>
          <w:sz w:val="20"/>
        </w:rPr>
        <w:t xml:space="preserve">O existencialismo é um humanismo. </w:t>
      </w:r>
      <w:r>
        <w:rPr>
          <w:rFonts w:ascii="Arial" w:eastAsia="Arial" w:hAnsi="Arial" w:cs="Arial"/>
          <w:sz w:val="20"/>
        </w:rPr>
        <w:t>A imaginação: Questão de método. Seleção de textos de José Américo Motta Pessanha. Tradução de Rita Correira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Guedes, Luiz Roberto Salinas Forte, Bento Prado Júnior. 3. Ed. São Paulo : Nova Cultural, 1987</w:t>
      </w:r>
      <w:r>
        <w:rPr>
          <w:rFonts w:ascii="Arial" w:eastAsia="Arial" w:hAnsi="Arial" w:cs="Arial"/>
          <w:sz w:val="20"/>
        </w:rPr>
        <w:t>.</w:t>
      </w:r>
    </w:p>
    <w:p w:rsidR="00FD77B5" w:rsidRDefault="003C31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MARQUES, Ilda Helena. </w:t>
      </w:r>
      <w:r>
        <w:rPr>
          <w:rFonts w:ascii="Arial" w:eastAsia="Arial" w:hAnsi="Arial" w:cs="Arial"/>
          <w:i/>
        </w:rPr>
        <w:t xml:space="preserve">Sartre e o Existencialismo </w:t>
      </w:r>
      <w:r>
        <w:rPr>
          <w:rFonts w:ascii="Arial" w:eastAsia="Arial" w:hAnsi="Arial" w:cs="Arial"/>
        </w:rPr>
        <w:t xml:space="preserve">76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http://www.ufsj.edu.br/portal-repositorio/File/revistalable/numero1/ilda9.pdf</w:t>
        </w:r>
      </w:hyperlink>
    </w:p>
    <w:p w:rsidR="00FD77B5" w:rsidRDefault="00FD77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D77B5" w:rsidRDefault="003C31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Não existe o livre arbítri</w:t>
      </w:r>
      <w:r>
        <w:rPr>
          <w:rFonts w:ascii="Calibri" w:eastAsia="Calibri" w:hAnsi="Calibri" w:cs="Calibri"/>
        </w:rPr>
        <w:t>o</w:t>
      </w:r>
    </w:p>
    <w:p w:rsidR="00FD77B5" w:rsidRDefault="003C3179">
      <w:pPr>
        <w:spacing w:after="0" w:line="240" w:lineRule="auto"/>
        <w:jc w:val="both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0000FF"/>
            <w:u w:val="single"/>
          </w:rPr>
          <w:t>https://veja.abril.com.br/ciencia/o-livre-arbitrio-nao-existe-dizem-neurocientistas/</w:t>
        </w:r>
      </w:hyperlink>
    </w:p>
    <w:p w:rsidR="00FD77B5" w:rsidRDefault="00FD77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D77B5" w:rsidRDefault="003C31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Santo Agostinho</w:t>
      </w:r>
    </w:p>
    <w:p w:rsidR="00FD77B5" w:rsidRDefault="003C3179">
      <w:pPr>
        <w:spacing w:after="0" w:line="240" w:lineRule="auto"/>
        <w:jc w:val="both"/>
        <w:rPr>
          <w:rFonts w:ascii="Arial" w:eastAsia="Arial" w:hAnsi="Arial" w:cs="Arial"/>
          <w:i/>
        </w:rPr>
      </w:pPr>
      <w:hyperlink r:id="rId8">
        <w:r>
          <w:rPr>
            <w:rFonts w:ascii="Calibri" w:eastAsia="Calibri" w:hAnsi="Calibri" w:cs="Calibri"/>
            <w:color w:val="0000FF"/>
            <w:u w:val="single"/>
          </w:rPr>
          <w:t>https://www.google.com/search?gs_ssp=eJzj4tFP1zc0NDUozCjJMjFg9FIuTswryVdITM8vLsnMy8hXSFXIV8jJLCtKVUgsSjq8tqQoMx8AqVQSFg&amp;q=santo+agostinho+e+o+livre+arb%C3%ADtrio&amp;oq=santo+aostinho+e+o&amp;aqs=chrome.1.69i57j46i13j0i13l5.20195j0j15&amp;sourceid=chrome&amp;</w:t>
        </w:r>
        <w:r>
          <w:rPr>
            <w:rFonts w:ascii="Calibri" w:eastAsia="Calibri" w:hAnsi="Calibri" w:cs="Calibri"/>
            <w:color w:val="0000FF"/>
            <w:u w:val="single"/>
          </w:rPr>
          <w:t>ie=UTF-8</w:t>
        </w:r>
      </w:hyperlink>
    </w:p>
    <w:p w:rsidR="00FD77B5" w:rsidRDefault="00FD77B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sectPr w:rsidR="00FD7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B5"/>
    <w:rsid w:val="003C3179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1DBF7-7C4E-4DF2-8D76-3D57E19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FP1zc0NDUozCjJMjFg9FIuTswryVdITM8vLsnMy8hXSFXIV8jJLCtKVUgsSjq8tqQoMx8AqVQSFg&amp;q=santo+agostinho+e+o+livre+arb%C3%ADtrio&amp;oq=santo+aostinho+e+o&amp;aqs=chrome.1.69i57j46i13j0i13l5.20195j0j15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ja.abril.com.br/ciencia/o-livre-arbitrio-nao-existe-dizem-neurocientist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sj.edu.br/portal-repositorio/File/revistalable/numero1/ilda9.pd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roriz</dc:creator>
  <cp:lastModifiedBy>edna roriz</cp:lastModifiedBy>
  <cp:revision>2</cp:revision>
  <dcterms:created xsi:type="dcterms:W3CDTF">2020-11-28T14:41:00Z</dcterms:created>
  <dcterms:modified xsi:type="dcterms:W3CDTF">2020-11-28T14:41:00Z</dcterms:modified>
</cp:coreProperties>
</file>